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5B" w:rsidRDefault="001F4D5B">
      <w:pPr>
        <w:rPr>
          <w:sz w:val="32"/>
          <w:szCs w:val="32"/>
          <w:lang w:val="en-US"/>
        </w:rPr>
      </w:pPr>
    </w:p>
    <w:p w:rsidR="001F4D5B" w:rsidRDefault="001F4D5B">
      <w:pPr>
        <w:jc w:val="both"/>
        <w:rPr>
          <w:rFonts w:ascii="Albertus Medium" w:hAnsi="Albertus Medium"/>
          <w:b/>
          <w:color w:val="FF0000"/>
          <w:sz w:val="22"/>
          <w:szCs w:val="22"/>
          <w:lang w:val="en-AU" w:eastAsia="it-IT"/>
        </w:rPr>
      </w:pPr>
    </w:p>
    <w:p w:rsidR="001F4D5B" w:rsidRDefault="005A78A9">
      <w:pPr>
        <w:jc w:val="both"/>
      </w:pPr>
      <w:r>
        <w:rPr>
          <w:rFonts w:ascii="Albertus Medium" w:hAnsi="Albertus Medium"/>
          <w:b/>
          <w:color w:val="00B050"/>
          <w:sz w:val="22"/>
          <w:szCs w:val="22"/>
          <w:lang w:eastAsia="it-IT"/>
        </w:rPr>
        <w:t>CENTRALNA ROLA OSOBY</w:t>
      </w:r>
    </w:p>
    <w:p w:rsidR="001F4D5B" w:rsidRDefault="001F4D5B">
      <w:pPr>
        <w:jc w:val="both"/>
        <w:rPr>
          <w:rFonts w:ascii="Albertus Medium" w:hAnsi="Albertus Medium"/>
          <w:b/>
          <w:color w:val="00B050"/>
          <w:sz w:val="22"/>
          <w:szCs w:val="22"/>
          <w:lang w:eastAsia="it-IT"/>
        </w:rPr>
      </w:pPr>
    </w:p>
    <w:p w:rsidR="001F4D5B" w:rsidRDefault="005A78A9">
      <w:pPr>
        <w:jc w:val="both"/>
      </w:pPr>
      <w:r>
        <w:rPr>
          <w:rFonts w:ascii="Albertus Medium" w:hAnsi="Albertus Medium"/>
          <w:b/>
          <w:color w:val="000000" w:themeColor="text1"/>
          <w:sz w:val="22"/>
          <w:szCs w:val="22"/>
          <w:lang w:eastAsia="it-IT"/>
        </w:rPr>
        <w:t xml:space="preserve">                        I </w:t>
      </w:r>
    </w:p>
    <w:p w:rsidR="001F4D5B" w:rsidRDefault="001F4D5B">
      <w:pPr>
        <w:jc w:val="both"/>
        <w:rPr>
          <w:rFonts w:ascii="Albertus Medium" w:hAnsi="Albertus Medium"/>
          <w:b/>
          <w:color w:val="000000" w:themeColor="text1"/>
          <w:sz w:val="22"/>
          <w:szCs w:val="22"/>
          <w:lang w:eastAsia="it-IT"/>
        </w:rPr>
      </w:pPr>
    </w:p>
    <w:p w:rsidR="001F4D5B" w:rsidRDefault="005A78A9">
      <w:pPr>
        <w:jc w:val="both"/>
      </w:pPr>
      <w:r>
        <w:rPr>
          <w:rFonts w:ascii="Albertus Medium" w:hAnsi="Albertus Medium"/>
          <w:b/>
          <w:color w:val="FF0000"/>
          <w:sz w:val="22"/>
          <w:szCs w:val="22"/>
          <w:lang w:eastAsia="it-IT"/>
        </w:rPr>
        <w:t xml:space="preserve">LUDZKIE RELACJE </w:t>
      </w:r>
      <w:r>
        <w:rPr>
          <w:rFonts w:ascii="Albertus Medium" w:hAnsi="Albertus Medium"/>
          <w:b/>
          <w:color w:val="7030A0"/>
          <w:sz w:val="22"/>
          <w:szCs w:val="22"/>
          <w:lang w:eastAsia="it-IT"/>
        </w:rPr>
        <w:t>W KOMUNIKACJI SPOŁECZNEJ</w:t>
      </w:r>
    </w:p>
    <w:p w:rsidR="001F4D5B" w:rsidRDefault="001F4D5B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n-AU" w:eastAsia="it-IT"/>
        </w:rPr>
      </w:pPr>
    </w:p>
    <w:p w:rsidR="001F4D5B" w:rsidRDefault="001F4D5B">
      <w:pPr>
        <w:pStyle w:val="SemEspaamento"/>
        <w:jc w:val="both"/>
        <w:rPr>
          <w:rFonts w:ascii="Calibri Light" w:eastAsia="Times New Roman" w:hAnsi="Calibri Light" w:cs="Times New Roman"/>
          <w:b/>
          <w:color w:val="FF0000"/>
          <w:sz w:val="36"/>
          <w:szCs w:val="36"/>
          <w:lang w:val="en-AU" w:eastAsia="it-IT"/>
        </w:rPr>
      </w:pPr>
    </w:p>
    <w:p w:rsidR="001F4D5B" w:rsidRDefault="005A78A9">
      <w:pPr>
        <w:pStyle w:val="SemEspaamento"/>
        <w:jc w:val="both"/>
      </w:pPr>
      <w:proofErr w:type="spellStart"/>
      <w:r>
        <w:rPr>
          <w:rFonts w:ascii="Calibri Light" w:eastAsia="Times New Roman" w:hAnsi="Calibri Light" w:cs="Times New Roman"/>
          <w:b/>
          <w:color w:val="C00000"/>
          <w:sz w:val="36"/>
          <w:szCs w:val="36"/>
          <w:lang w:val="en-AU" w:eastAsia="it-IT"/>
        </w:rPr>
        <w:t>Drodzy</w:t>
      </w:r>
      <w:proofErr w:type="spellEnd"/>
      <w:r>
        <w:rPr>
          <w:rFonts w:ascii="Calibri Light" w:eastAsia="Times New Roman" w:hAnsi="Calibri Light" w:cs="Times New Roman"/>
          <w:b/>
          <w:color w:val="C00000"/>
          <w:sz w:val="36"/>
          <w:szCs w:val="36"/>
          <w:lang w:val="en-AU" w:eastAsia="it-IT"/>
        </w:rPr>
        <w:t xml:space="preserve"> </w:t>
      </w:r>
      <w:proofErr w:type="spellStart"/>
      <w:r>
        <w:rPr>
          <w:rFonts w:ascii="Calibri Light" w:eastAsia="Times New Roman" w:hAnsi="Calibri Light" w:cs="Times New Roman"/>
          <w:b/>
          <w:color w:val="C00000"/>
          <w:sz w:val="36"/>
          <w:szCs w:val="36"/>
          <w:lang w:val="en-AU" w:eastAsia="it-IT"/>
        </w:rPr>
        <w:t>przyjaciele</w:t>
      </w:r>
      <w:proofErr w:type="spellEnd"/>
      <w:r>
        <w:rPr>
          <w:rFonts w:ascii="Calibri Light" w:eastAsia="Times New Roman" w:hAnsi="Calibri Light" w:cs="Times New Roman"/>
          <w:b/>
          <w:color w:val="C00000"/>
          <w:sz w:val="36"/>
          <w:szCs w:val="36"/>
          <w:lang w:val="en-AU" w:eastAsia="it-IT"/>
        </w:rPr>
        <w:t>!</w:t>
      </w:r>
    </w:p>
    <w:p w:rsidR="001F4D5B" w:rsidRDefault="001F4D5B">
      <w:pPr>
        <w:jc w:val="both"/>
        <w:rPr>
          <w:rFonts w:asciiTheme="majorHAnsi" w:hAnsiTheme="majorHAnsi"/>
          <w:color w:val="FF0000"/>
          <w:sz w:val="28"/>
          <w:szCs w:val="28"/>
          <w:lang w:val="en-AU" w:eastAsia="it-IT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Przełożony Generalny ks. Ángel Fernández Artime w propozycji programowej dla Zgromadzenia Salezjańskiego, jaką skierował po  XXVIII Kapitule Generalnej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,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zachęca nas do przyjęcia komunikacji społecznej jako żywego doświadczenia „salezjańskiego sakramentu obecności” w kulturze młodzieżowej naszych czasów.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Co to oznacza dla nas, wychowawców i przekazicieli treści, dla naszej pracy, jaką realizujemy z młodzieżą,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w naszych dziełach, w sektorach komunikacji, takich jak radio, Biuletyn Salezjański, strony internetowe, sieci społecznościowe, wydawnictwa, pisma i w odniesieniu do innych inicjatyw, jakie realizujemy na polu komunikacji?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Słowo „sakrament” odnosi się do wymiaru sakralnego; znaku, który przekazuje światu widzialnemu niewidzialną tajemnicę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.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Nasza obecność jako  „sakrament” komunikacji odsyła nas do Wcielenia Słowa, które stało się widzialną obecności Boga wśród nas.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Bóg ukazuje swoją miłość w konkretny sposób, poprzez wcielenie swojego Syna: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„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>A Słowo stało się ciałem i zamieszkało wśród nas (J 1, 14).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>Komunikacja znajduje swoje żywotne korzenie w Słowie,  Przekazicielu Boga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 xml:space="preserve">. Słowo jest źródłem życia, widzialnie zintegrowanym z Historią Zbawienia. 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Komunikacja jest zasadniczo obecnością Bożej Osoby w historii człowieka: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Słowo jest miłością, relacją, słowem, językiem, symbolem, słuchaniem, spotkaniem i breterstwem/przyjaźnią. </w:t>
      </w: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  <w:t xml:space="preserve">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lastRenderedPageBreak/>
        <w:t xml:space="preserve">Przez wcielenie Słowa Bożego otrzymaliśmy dar wolności  komunikacji,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tworzenia, innowacji, kontynuacji dzieła stworzenia, które jest „komunikacją” Boga. 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Jako współautorzy przekazywania planu Bożego odpowiadamy za budowanie relacji, które rodzą życie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i które wzmacniają wolność bycia ludźmi, którzy angażują się w konkretną rzeczywistość innych osób w swoich wspólnotach.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Zwrot „żyć wśród” ogrywa bardzo ważną rolę w salezjańskiej propozycji: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być obecnym, być gościnnym i kroczyć razem z młodzieżą. 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Nasza radosna i bezinteresowna obecność wśród młodzieży stawia nam kluczowe pytanie: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Kim jest osoba, która jest obecna i która komunikuje się z nimi i dla nich?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Salezjanin, ze swoją tożsamością osoby konsekrowanej, jako uczeń Pana jest przekazicielem radości i optymizmu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,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ponieważ naśladuje i kocha Jezusa, Przekaziciela Ojca.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Tożsamość salezjanina,  przekaziciela treści i wychowawcy młodzieży, wskazuje na nasze odniesienie i nasz autorytet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w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komunikowaniu z sercem Dobrego Pasterza.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>Tożsamość salezjańskiego przekaziciela znajduje swoje źródło w duchowym ojcostwie Księdza Bosko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, w taki sposób, w jakim on sam ją przeżywał na Valdocco. </w:t>
      </w: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Jak Ksiądz Bosko komunikujemy w stylu salezjańskim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, czyniąc to z serdecznością,  otwartością serca, szacunkiem, prostotą i radością. 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Żyć „salezjańskim sakramentem” w komunikacji społecznej to postawa stałego nawracania i rozeznania duszpasterskiego,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>dialogu oraz bycia na bieżąco, gdy chodzi o język i świat młodzieży.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ind w:right="44"/>
        <w:contextualSpacing/>
        <w:jc w:val="both"/>
      </w:pP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 xml:space="preserve">Komunikowanie w środowisku młodzieżowym oznacza więc: słuchanie, dialog, osobiste i wspólnotowe rozeznanie,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aby przekaz stał się sposobem bycia dla wspólnoty wychowawczej i rodziny.  </w:t>
      </w:r>
    </w:p>
    <w:p w:rsidR="001F4D5B" w:rsidRDefault="001F4D5B">
      <w:pPr>
        <w:ind w:right="44"/>
        <w:contextualSpacing/>
        <w:jc w:val="both"/>
        <w:rPr>
          <w:rFonts w:asciiTheme="majorHAnsi" w:eastAsiaTheme="majorEastAsia" w:hAnsiTheme="majorHAnsi"/>
          <w:bCs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Być </w:t>
      </w:r>
      <w:r>
        <w:rPr>
          <w:rFonts w:asciiTheme="majorHAnsi" w:eastAsiaTheme="majorEastAsia" w:hAnsiTheme="majorHAnsi"/>
          <w:b/>
          <w:bCs/>
          <w:color w:val="244061" w:themeColor="accent1" w:themeShade="80"/>
          <w:sz w:val="28"/>
          <w:szCs w:val="28"/>
          <w:lang w:val="it-IT"/>
        </w:rPr>
        <w:t>„salezjańskim sakramentem obecności” w komunikacji społecznej oznacza lepsze zrozumienie ekosystemu młodzieżowego</w:t>
      </w: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, 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języków młodzieżowych, symboli, sposobu komunikacji, który jest interaktywny, natychmiastowy i proaktywny. </w:t>
      </w:r>
    </w:p>
    <w:p w:rsidR="001F4D5B" w:rsidRDefault="001F4D5B">
      <w:pPr>
        <w:jc w:val="both"/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jc w:val="both"/>
      </w:pP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lastRenderedPageBreak/>
        <w:t>Komunikacja jest sposobem przeżywania salezjańskiej duchowości poprzez relacje, które są wychowawcze, i poprzez towarzyszenie</w:t>
      </w: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, a także formację, poszukiwanie sensu życia i zaangażowanie na rzecz budowania bardziej emaptycznego i ludzkiego społeczeństwa. </w:t>
      </w:r>
      <w:r>
        <w:rPr>
          <w:rFonts w:asciiTheme="majorHAnsi" w:eastAsiaTheme="majorEastAsia" w:hAnsiTheme="majorHAnsi"/>
          <w:b/>
          <w:color w:val="244061" w:themeColor="accent1" w:themeShade="80"/>
          <w:sz w:val="28"/>
          <w:szCs w:val="28"/>
          <w:lang w:val="it-IT"/>
        </w:rPr>
        <w:t xml:space="preserve"> </w:t>
      </w:r>
    </w:p>
    <w:p w:rsidR="001F4D5B" w:rsidRDefault="005A78A9">
      <w:pPr>
        <w:tabs>
          <w:tab w:val="left" w:pos="6060"/>
        </w:tabs>
        <w:jc w:val="both"/>
        <w:rPr>
          <w:lang w:val="en-AU"/>
        </w:rPr>
      </w:pP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en-AU"/>
        </w:rPr>
        <w:tab/>
      </w:r>
    </w:p>
    <w:p w:rsidR="001F4D5B" w:rsidRDefault="005A78A9">
      <w:pPr>
        <w:jc w:val="both"/>
      </w:pPr>
      <w:r>
        <w:rPr>
          <w:rFonts w:asciiTheme="majorHAnsi" w:hAnsiTheme="majorHAnsi" w:cs="Arial"/>
          <w:b/>
          <w:bCs/>
          <w:color w:val="002060"/>
          <w:sz w:val="28"/>
          <w:szCs w:val="28"/>
          <w:lang w:val="it-IT"/>
        </w:rPr>
        <w:t>Papież Franciszek w swoim liście do Przełożonego Generalnego ks. Ángela Fernándeza, który skierował z okazji dwusetnej rocznicy urodzin św. Jana Bosko</w:t>
      </w:r>
      <w:r>
        <w:rPr>
          <w:rFonts w:asciiTheme="majorHAnsi" w:hAnsiTheme="majorHAnsi" w:cs="Arial"/>
          <w:color w:val="002060"/>
          <w:sz w:val="28"/>
          <w:szCs w:val="28"/>
          <w:lang w:val="it-IT"/>
        </w:rPr>
        <w:t xml:space="preserve">, z dnia 24 czerwca 2015, znakomicie ujął to wyzwanie: </w:t>
      </w:r>
      <w:r>
        <w:rPr>
          <w:rFonts w:asciiTheme="majorHAnsi" w:eastAsiaTheme="majorEastAsia" w:hAnsiTheme="majorHAnsi" w:cs="Arial"/>
          <w:color w:val="244061" w:themeColor="accent1" w:themeShade="80"/>
          <w:sz w:val="28"/>
          <w:szCs w:val="28"/>
          <w:lang w:val="it-IT"/>
        </w:rPr>
        <w:t>„</w:t>
      </w:r>
      <w:r>
        <w:rPr>
          <w:rFonts w:asciiTheme="majorHAnsi" w:eastAsiaTheme="majorEastAsia" w:hAnsiTheme="majorHAnsi" w:cs="Arial"/>
          <w:i/>
          <w:iCs/>
          <w:color w:val="244061" w:themeColor="accent1" w:themeShade="80"/>
          <w:sz w:val="28"/>
          <w:szCs w:val="28"/>
          <w:lang w:val="it-IT"/>
        </w:rPr>
        <w:t>Wychowanie, zgodnie z chrześcijańską antropologią,</w:t>
      </w:r>
      <w:r>
        <w:rPr>
          <w:rFonts w:asciiTheme="majorHAnsi" w:eastAsiaTheme="majorEastAsia" w:hAnsiTheme="majorHAnsi" w:cs="Arial"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eastAsiaTheme="majorEastAsia" w:hAnsiTheme="majorHAnsi" w:cs="Arial"/>
          <w:i/>
          <w:iCs/>
          <w:color w:val="244061" w:themeColor="accent1" w:themeShade="80"/>
          <w:sz w:val="28"/>
          <w:szCs w:val="28"/>
          <w:lang w:val="it-IT"/>
        </w:rPr>
        <w:t xml:space="preserve">do języka nowych środków przekazu i sieci społecznościowych; </w:t>
      </w:r>
      <w:r>
        <w:rPr>
          <w:rFonts w:asciiTheme="majorHAnsi" w:eastAsiaTheme="majorEastAsia" w:hAnsiTheme="majorHAnsi" w:cs="Arial"/>
          <w:color w:val="244061" w:themeColor="accent1" w:themeShade="80"/>
          <w:sz w:val="28"/>
          <w:szCs w:val="28"/>
          <w:lang w:val="it-IT"/>
        </w:rPr>
        <w:t xml:space="preserve">te głęboko kształtują kulturowe kody młodych ludzi, a tym samym wizję rzeczywistości ludzkiej i religijnej”.  </w:t>
      </w:r>
      <w:r>
        <w:rPr>
          <w:rFonts w:asciiTheme="majorHAnsi" w:eastAsiaTheme="majorEastAsia" w:hAnsiTheme="majorHAnsi" w:cs="Arial"/>
          <w:i/>
          <w:iCs/>
          <w:color w:val="244061" w:themeColor="accent1" w:themeShade="80"/>
          <w:sz w:val="28"/>
          <w:szCs w:val="28"/>
          <w:lang w:val="it-IT"/>
        </w:rPr>
        <w:t xml:space="preserve"> </w:t>
      </w:r>
      <w:r>
        <w:rPr>
          <w:rFonts w:asciiTheme="majorHAnsi" w:hAnsiTheme="majorHAnsi" w:cs="Arial"/>
          <w:i/>
          <w:iCs/>
          <w:color w:val="002060"/>
          <w:sz w:val="28"/>
          <w:szCs w:val="28"/>
          <w:lang w:val="it-IT"/>
        </w:rPr>
        <w:t xml:space="preserve"> </w:t>
      </w:r>
    </w:p>
    <w:p w:rsidR="001F4D5B" w:rsidRDefault="001F4D5B">
      <w:pPr>
        <w:jc w:val="both"/>
        <w:rPr>
          <w:rFonts w:asciiTheme="majorHAnsi" w:hAnsiTheme="majorHAnsi" w:cs="Arial"/>
          <w:i/>
          <w:color w:val="002060"/>
          <w:sz w:val="28"/>
          <w:szCs w:val="28"/>
          <w:lang w:val="en-AU"/>
        </w:rPr>
      </w:pPr>
    </w:p>
    <w:p w:rsidR="001F4D5B" w:rsidRDefault="005A78A9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Kulturowe kody młodzieży stanowią język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oraz sposób komunikowania się i życia.</w:t>
      </w: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  </w:t>
      </w:r>
    </w:p>
    <w:p w:rsidR="001F4D5B" w:rsidRDefault="001F4D5B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 xml:space="preserve">Te kody komunikacji łączą się ze zwyczajnymi rytuałami życia: 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nauka, jedzenie, spotkanie się w rodzinie, relacje z przyjaciółmi, interakcja online, uprawianie sportu, słuchanie muzyki, modlitwa, udział w momentach bolesnych (cierpienie, utrata kogoś, choroba, śmierć) i radosnych (zdrowie, przyjaciele, praca, rozrywka, służenie innym, życie chrześcijańskie). </w:t>
      </w:r>
      <w:r>
        <w:rPr>
          <w:rFonts w:asciiTheme="majorHAnsi" w:eastAsiaTheme="majorEastAsia" w:hAnsiTheme="majorHAnsi" w:cs="Times New Roman"/>
          <w:bCs/>
          <w:color w:val="244061" w:themeColor="accent1" w:themeShade="80"/>
          <w:sz w:val="28"/>
          <w:szCs w:val="28"/>
          <w:lang w:val="it-IT"/>
        </w:rPr>
        <w:t xml:space="preserve"> </w:t>
      </w:r>
    </w:p>
    <w:p w:rsidR="001F4D5B" w:rsidRDefault="001F4D5B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bCs/>
          <w:color w:val="244061" w:themeColor="accent1" w:themeShade="80"/>
          <w:sz w:val="28"/>
          <w:szCs w:val="28"/>
          <w:lang w:val="it-IT"/>
        </w:rPr>
        <w:t>Te rytuały z udziałem ludzi młodych zachodzą w życiu codziennym, w środowisku, które nie ogranicza relacji ludzkich, w codziennych ekosystemach kulturowych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, co łączy się z nowymi językami, nowymi kodami, zanurzeniem ich życia w nowe konteksty komunikacji, w sieci interaktywne i cyfrowe. </w:t>
      </w:r>
    </w:p>
    <w:p w:rsidR="001F4D5B" w:rsidRDefault="001F4D5B">
      <w:pPr>
        <w:pStyle w:val="SemEspaamento"/>
        <w:snapToGrid w:val="0"/>
        <w:ind w:right="183"/>
        <w:jc w:val="both"/>
        <w:rPr>
          <w:rFonts w:asciiTheme="majorHAnsi" w:eastAsiaTheme="majorEastAsia" w:hAnsiTheme="majorHAnsi" w:cs="Times New Roman"/>
          <w:b/>
          <w:bCs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color w:val="244061" w:themeColor="accent1" w:themeShade="80"/>
          <w:sz w:val="28"/>
          <w:szCs w:val="28"/>
          <w:lang w:val="it-IT"/>
        </w:rPr>
        <w:t>Tak więc żyjemy i wychowujemy w ekosystemach młodzieżowych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,  w zintegrowanych kontekstach ludzkich i kulturowych, gdzie żywe doświadcznie </w:t>
      </w:r>
      <w:r>
        <w:rPr>
          <w:rFonts w:asciiTheme="majorHAnsi" w:eastAsiaTheme="majorEastAsia" w:hAnsiTheme="majorHAnsi" w:cs="Arial"/>
          <w:color w:val="244061" w:themeColor="accent1" w:themeShade="80"/>
          <w:sz w:val="28"/>
          <w:szCs w:val="28"/>
          <w:lang w:val="it-IT"/>
        </w:rPr>
        <w:t>„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salezjańskiego sakramentu obecności” wyraża się w umieszczaniu w centrum osoby oraz relacji międzyludzkich i chrześcijańskich.  </w:t>
      </w:r>
    </w:p>
    <w:p w:rsidR="001F4D5B" w:rsidRDefault="001F4D5B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1F4D5B" w:rsidRDefault="005A78A9">
      <w:pPr>
        <w:pStyle w:val="SemEspaamento"/>
        <w:snapToGrid w:val="0"/>
        <w:ind w:right="183"/>
        <w:jc w:val="both"/>
      </w:pPr>
      <w:r>
        <w:rPr>
          <w:rFonts w:asciiTheme="majorHAnsi" w:eastAsiaTheme="majorEastAsia" w:hAnsiTheme="majorHAnsi" w:cs="Times New Roman"/>
          <w:b/>
          <w:bCs/>
          <w:color w:val="244061" w:themeColor="accent1" w:themeShade="80"/>
          <w:sz w:val="28"/>
          <w:szCs w:val="28"/>
          <w:lang w:val="it-IT"/>
        </w:rPr>
        <w:t xml:space="preserve">Zawsze będziemy wychowawcami i </w:t>
      </w:r>
      <w:r>
        <w:rPr>
          <w:rFonts w:asciiTheme="majorHAnsi" w:eastAsiaTheme="majorEastAsia" w:hAnsiTheme="majorHAnsi" w:cs="Arial"/>
          <w:b/>
          <w:bCs/>
          <w:color w:val="244061" w:themeColor="accent1" w:themeShade="80"/>
          <w:sz w:val="28"/>
          <w:szCs w:val="28"/>
          <w:lang w:val="it-IT"/>
        </w:rPr>
        <w:t>„</w:t>
      </w:r>
      <w:r>
        <w:rPr>
          <w:rFonts w:asciiTheme="majorHAnsi" w:eastAsiaTheme="majorEastAsia" w:hAnsiTheme="majorHAnsi" w:cs="Times New Roman"/>
          <w:b/>
          <w:bCs/>
          <w:color w:val="244061" w:themeColor="accent1" w:themeShade="80"/>
          <w:sz w:val="28"/>
          <w:szCs w:val="28"/>
          <w:lang w:val="it-IT"/>
        </w:rPr>
        <w:t>komunikatorami” w tej relacji wychowawczej,</w:t>
      </w: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 xml:space="preserve"> ponieważ kroczymy z ludźmi młodymi i kochamy ich tam, gdzie się spotykają i czekają na nas i nasze serce Dobrego Pasterza.</w:t>
      </w:r>
    </w:p>
    <w:p w:rsidR="001F4D5B" w:rsidRDefault="001F4D5B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en-AU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63739D" w:rsidRDefault="0063739D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1F4D5B" w:rsidRDefault="005A78A9">
      <w:pPr>
        <w:pStyle w:val="SemEspaamento"/>
        <w:snapToGrid w:val="0"/>
        <w:ind w:left="157" w:right="183"/>
        <w:jc w:val="both"/>
      </w:pPr>
      <w:r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  <w:t>Z braterskim pozdrowieniem</w:t>
      </w:r>
    </w:p>
    <w:p w:rsidR="001F4D5B" w:rsidRDefault="001F4D5B">
      <w:pPr>
        <w:pStyle w:val="SemEspaamento"/>
        <w:snapToGrid w:val="0"/>
        <w:ind w:left="157" w:right="183"/>
        <w:jc w:val="both"/>
        <w:rPr>
          <w:rFonts w:asciiTheme="majorHAnsi" w:eastAsiaTheme="majorEastAsia" w:hAnsiTheme="majorHAnsi" w:cs="Times New Roman"/>
          <w:color w:val="244061" w:themeColor="accent1" w:themeShade="80"/>
          <w:sz w:val="28"/>
          <w:szCs w:val="28"/>
          <w:lang w:val="it-IT"/>
        </w:rPr>
      </w:pPr>
    </w:p>
    <w:p w:rsidR="0063739D" w:rsidRDefault="0063739D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</w:pPr>
      <w:bookmarkStart w:id="0" w:name="_GoBack"/>
      <w:bookmarkEnd w:id="0"/>
    </w:p>
    <w:p w:rsidR="001F4D5B" w:rsidRDefault="005A78A9">
      <w:pPr>
        <w:tabs>
          <w:tab w:val="left" w:pos="5580"/>
        </w:tabs>
        <w:jc w:val="both"/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Ks. Gildásio Mendes dos Santos SDB</w:t>
      </w:r>
    </w:p>
    <w:p w:rsidR="001F4D5B" w:rsidRDefault="005A78A9">
      <w:pPr>
        <w:tabs>
          <w:tab w:val="left" w:pos="5580"/>
        </w:tabs>
        <w:jc w:val="both"/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Radca Generalny ds. Komunikacji Społecznej</w:t>
      </w:r>
    </w:p>
    <w:p w:rsidR="001F4D5B" w:rsidRDefault="001F4D5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it-IT"/>
        </w:rPr>
      </w:pPr>
    </w:p>
    <w:p w:rsidR="001F4D5B" w:rsidRDefault="001F4D5B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highlight w:val="white"/>
          <w:lang w:val="it-IT"/>
        </w:rPr>
      </w:pPr>
    </w:p>
    <w:p w:rsidR="001F4D5B" w:rsidRDefault="005A78A9" w:rsidP="0063739D">
      <w:pPr>
        <w:tabs>
          <w:tab w:val="left" w:pos="5580"/>
        </w:tabs>
        <w:jc w:val="both"/>
      </w:pPr>
      <w:r>
        <w:rPr>
          <w:rFonts w:asciiTheme="majorHAnsi" w:eastAsiaTheme="majorEastAsia" w:hAnsiTheme="majorHAnsi"/>
          <w:color w:val="244061" w:themeColor="accent1" w:themeShade="80"/>
          <w:sz w:val="28"/>
          <w:szCs w:val="28"/>
          <w:lang w:val="it-IT"/>
        </w:rPr>
        <w:t xml:space="preserve">                                                                               Porto Alegre, 24 listopada 2020</w:t>
      </w:r>
    </w:p>
    <w:sectPr w:rsidR="001F4D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5" w:right="1417" w:bottom="777" w:left="1417" w:header="568" w:footer="720" w:gutter="0"/>
      <w:cols w:space="720"/>
      <w:formProt w:val="0"/>
      <w:titlePg/>
      <w:docGrid w:linePitch="28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C5" w:rsidRDefault="003048C5">
      <w:r>
        <w:separator/>
      </w:r>
    </w:p>
  </w:endnote>
  <w:endnote w:type="continuationSeparator" w:id="0">
    <w:p w:rsidR="003048C5" w:rsidRDefault="0030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5B" w:rsidRDefault="005A78A9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33A8CCF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4D5B" w:rsidRDefault="005A78A9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040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5.95pt;margin-top:.05pt;width:5.25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" filled="f" stroked="f">
              <v:textbox style="mso-fit-shape-to-text:t" inset="0,0,0,0">
                <w:txbxContent>
                  <w:p w:rsidR="001F4D5B" w:rsidRDefault="005A78A9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040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5B" w:rsidRDefault="005A78A9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C5" w:rsidRDefault="003048C5">
      <w:r>
        <w:separator/>
      </w:r>
    </w:p>
  </w:footnote>
  <w:footnote w:type="continuationSeparator" w:id="0">
    <w:p w:rsidR="003048C5" w:rsidRDefault="00304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5B" w:rsidRDefault="001F4D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1F4D5B">
      <w:trPr>
        <w:trHeight w:val="1412"/>
      </w:trPr>
      <w:tc>
        <w:tcPr>
          <w:tcW w:w="1948" w:type="dxa"/>
          <w:shd w:val="clear" w:color="auto" w:fill="auto"/>
        </w:tcPr>
        <w:p w:rsidR="001F4D5B" w:rsidRDefault="005A78A9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2299ED2B">
                    <wp:simplePos x="0" y="0"/>
                    <wp:positionH relativeFrom="column">
                      <wp:posOffset>871220</wp:posOffset>
                    </wp:positionH>
                    <wp:positionV relativeFrom="paragraph">
                      <wp:posOffset>826770</wp:posOffset>
                    </wp:positionV>
                    <wp:extent cx="5040630" cy="11430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40000" cy="10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7549" w:type="dxa"/>
          <w:shd w:val="clear" w:color="auto" w:fill="auto"/>
        </w:tcPr>
        <w:p w:rsidR="001F4D5B" w:rsidRDefault="001F4D5B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1F4D5B" w:rsidRDefault="001F4D5B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1F4D5B" w:rsidRDefault="001F4D5B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1F4D5B" w:rsidRDefault="005A78A9">
          <w:pPr>
            <w:jc w:val="right"/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Ks. Gildasio Dos Santos Mendes sdb</w:t>
          </w:r>
        </w:p>
        <w:p w:rsidR="001F4D5B" w:rsidRDefault="005A78A9">
          <w:pPr>
            <w:jc w:val="right"/>
          </w:pPr>
          <w:r>
            <w:rPr>
              <w:b/>
              <w:bCs/>
              <w:i/>
              <w:iCs/>
              <w:color w:val="663300"/>
              <w:sz w:val="24"/>
              <w:szCs w:val="22"/>
              <w:lang w:val="it-IT"/>
            </w:rPr>
            <w:t>Radca Generalny ds. Komunikacji Społecznej</w:t>
          </w:r>
        </w:p>
      </w:tc>
    </w:tr>
  </w:tbl>
  <w:p w:rsidR="001F4D5B" w:rsidRDefault="001F4D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5B"/>
    <w:rsid w:val="001F4D5B"/>
    <w:rsid w:val="003048C5"/>
    <w:rsid w:val="005A78A9"/>
    <w:rsid w:val="0063739D"/>
    <w:rsid w:val="007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pPr>
      <w:suppressAutoHyphens/>
    </w:pPr>
    <w:rPr>
      <w:color w:val="00000A"/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1094F"/>
  </w:style>
  <w:style w:type="character" w:customStyle="1" w:styleId="FootnoteCharacters">
    <w:name w:val="Footnote Characters"/>
    <w:basedOn w:val="Fontepargpadr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zeinternetowe">
    <w:name w:val="Łącze internetowe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410A5C"/>
    <w:rPr>
      <w:b/>
      <w:bCs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color w:val="00000A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"/>
    <w:qFormat/>
  </w:style>
  <w:style w:type="paragraph" w:customStyle="1" w:styleId="Zawartoramki">
    <w:name w:val="Zawartość ramki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pPr>
      <w:suppressAutoHyphens/>
    </w:pPr>
    <w:rPr>
      <w:color w:val="00000A"/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11094F"/>
  </w:style>
  <w:style w:type="character" w:customStyle="1" w:styleId="FootnoteCharacters">
    <w:name w:val="Footnote Characters"/>
    <w:basedOn w:val="Fontepargpadro"/>
    <w:uiPriority w:val="99"/>
    <w:qFormat/>
    <w:rsid w:val="0011094F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zeinternetowe">
    <w:name w:val="Łącze internetowe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410A5C"/>
    <w:rPr>
      <w:b/>
      <w:bCs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Standard">
    <w:name w:val="Standard"/>
    <w:qFormat/>
    <w:rsid w:val="00924314"/>
    <w:pPr>
      <w:textAlignment w:val="baseline"/>
    </w:pPr>
    <w:rPr>
      <w:color w:val="00000A"/>
      <w:lang w:val="de-DE" w:eastAsia="de-DE"/>
    </w:rPr>
  </w:style>
  <w:style w:type="paragraph" w:customStyle="1" w:styleId="Default">
    <w:name w:val="Default"/>
    <w:uiPriority w:val="99"/>
    <w:qFormat/>
    <w:rsid w:val="00410A5C"/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Normal"/>
    <w:qFormat/>
  </w:style>
  <w:style w:type="paragraph" w:customStyle="1" w:styleId="Zawartoramki">
    <w:name w:val="Zawartość ramki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114D-AE74-43E4-B2A9-10004B84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4</cp:revision>
  <cp:lastPrinted>2020-11-20T18:32:00Z</cp:lastPrinted>
  <dcterms:created xsi:type="dcterms:W3CDTF">2020-11-27T15:52:00Z</dcterms:created>
  <dcterms:modified xsi:type="dcterms:W3CDTF">2020-11-27T17:11:00Z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